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topLinePunct w:val="0"/>
        <w:bidi w:val="0"/>
        <w:snapToGrid/>
        <w:spacing w:after="0" w:line="240" w:lineRule="auto"/>
        <w:jc w:val="left"/>
        <w:rPr>
          <w:rFonts w:hint="eastAsia" w:ascii="Arial" w:hAnsi="Arial" w:eastAsia="Times New Roman"/>
          <w:b/>
          <w:bCs/>
          <w:i/>
          <w:sz w:val="24"/>
          <w:szCs w:val="24"/>
          <w:lang w:val="en-GB" w:eastAsia="en-US"/>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 xml:space="preserve">WG2 Meeting </w:t>
      </w:r>
      <w:r>
        <w:rPr>
          <w:rFonts w:hint="eastAsia" w:ascii="Arial" w:hAnsi="Arial" w:eastAsia="Times New Roman" w:cs="Arial"/>
          <w:b/>
          <w:sz w:val="24"/>
          <w:szCs w:val="24"/>
          <w:lang w:val="en-GB" w:eastAsia="en-US"/>
        </w:rPr>
        <w:t>#12</w:t>
      </w:r>
      <w:r>
        <w:rPr>
          <w:rFonts w:hint="eastAsia" w:ascii="Arial" w:hAnsi="Arial" w:eastAsia="宋体" w:cs="Arial"/>
          <w:b/>
          <w:sz w:val="24"/>
          <w:szCs w:val="24"/>
          <w:lang w:val="en-US" w:eastAsia="zh-CN"/>
        </w:rPr>
        <w:t xml:space="preserve">8                               </w:t>
      </w:r>
      <w:r>
        <w:rPr>
          <w:rFonts w:hint="eastAsia" w:ascii="Arial" w:hAnsi="Arial" w:eastAsia="Times New Roman"/>
          <w:b/>
          <w:bCs/>
          <w:sz w:val="24"/>
          <w:szCs w:val="24"/>
          <w:lang w:val="en-GB" w:eastAsia="en-US"/>
        </w:rPr>
        <w:t>R2-2410097</w:t>
      </w:r>
    </w:p>
    <w:p>
      <w:pPr>
        <w:widowControl/>
        <w:tabs>
          <w:tab w:val="center" w:pos="4536"/>
          <w:tab w:val="right" w:pos="9072"/>
        </w:tabs>
        <w:jc w:val="left"/>
        <w:rPr>
          <w:rFonts w:hint="eastAsia" w:ascii="Arial" w:hAnsi="Arial" w:eastAsia="宋体" w:cs="Arial"/>
          <w:b/>
          <w:bCs/>
          <w:kern w:val="0"/>
          <w:sz w:val="22"/>
        </w:rPr>
      </w:pPr>
      <w:r>
        <w:rPr>
          <w:rFonts w:hint="eastAsia" w:ascii="Arial" w:hAnsi="Arial" w:eastAsia="宋体" w:cs="Arial"/>
          <w:b/>
          <w:bCs/>
          <w:kern w:val="0"/>
          <w:sz w:val="22"/>
        </w:rPr>
        <w:t>Orlando, USA, Nov. 18</w:t>
      </w:r>
      <w:r>
        <w:rPr>
          <w:rFonts w:hint="eastAsia" w:ascii="Arial" w:hAnsi="Arial" w:eastAsia="宋体" w:cs="Arial"/>
          <w:b/>
          <w:bCs/>
          <w:kern w:val="0"/>
          <w:sz w:val="22"/>
          <w:vertAlign w:val="superscript"/>
        </w:rPr>
        <w:t>th</w:t>
      </w:r>
      <w:r>
        <w:rPr>
          <w:rFonts w:hint="eastAsia" w:ascii="Arial" w:hAnsi="Arial" w:eastAsia="宋体" w:cs="Arial"/>
          <w:b/>
          <w:bCs/>
          <w:kern w:val="0"/>
          <w:sz w:val="22"/>
        </w:rPr>
        <w:t>-22</w:t>
      </w:r>
      <w:r>
        <w:rPr>
          <w:rFonts w:hint="eastAsia" w:ascii="Arial" w:hAnsi="Arial" w:eastAsia="宋体" w:cs="Arial"/>
          <w:b/>
          <w:bCs/>
          <w:kern w:val="0"/>
          <w:sz w:val="22"/>
          <w:vertAlign w:val="superscript"/>
        </w:rPr>
        <w:t>nd</w:t>
      </w:r>
      <w:r>
        <w:rPr>
          <w:rFonts w:hint="eastAsia" w:ascii="Arial" w:hAnsi="Arial" w:eastAsia="宋体" w:cs="Arial"/>
          <w:b/>
          <w:bCs/>
          <w:kern w:val="0"/>
          <w:sz w:val="22"/>
        </w:rPr>
        <w:t>, 2024</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8"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5"/>
      <w:bookmarkStart w:id="3" w:name="OLE_LINK15"/>
      <w:bookmarkStart w:id="4" w:name="_Hlk135042323"/>
      <w:r>
        <w:rPr>
          <w:rFonts w:hint="eastAsia" w:ascii="Arial" w:hAnsi="Arial" w:eastAsia="宋体" w:cs="Arial"/>
          <w:b/>
          <w:kern w:val="0"/>
          <w:sz w:val="22"/>
          <w:lang w:val="en-US" w:eastAsia="zh-CN"/>
        </w:rPr>
        <w:t>Random access procedure for A-IoT</w:t>
      </w:r>
      <w:bookmarkEnd w:id="2"/>
    </w:p>
    <w:bookmarkEnd w:id="3"/>
    <w:bookmarkEnd w:id="4"/>
    <w:p>
      <w:pPr>
        <w:widowControl/>
        <w:tabs>
          <w:tab w:val="left" w:pos="1800"/>
          <w:tab w:val="center" w:pos="4536"/>
          <w:tab w:val="right" w:pos="9072"/>
        </w:tabs>
        <w:jc w:val="left"/>
        <w:rPr>
          <w:rFonts w:hint="default" w:ascii="Arial" w:hAnsi="Arial" w:eastAsia="宋体" w:cs="Times New Roman"/>
          <w:b/>
          <w:kern w:val="0"/>
          <w:sz w:val="22"/>
          <w:lang w:val="en-US" w:eastAsia="zh-CN"/>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hint="eastAsia" w:ascii="Arial" w:hAnsi="Arial" w:eastAsia="宋体" w:cs="Arial"/>
          <w:b/>
          <w:kern w:val="0"/>
          <w:sz w:val="22"/>
          <w:lang w:val="en-US" w:eastAsia="zh-CN"/>
        </w:rPr>
        <w:t>8.2.4</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eastAsia"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rPr>
        <w:t>In RAN</w:t>
      </w:r>
      <w:r>
        <w:rPr>
          <w:rFonts w:hint="eastAsia" w:ascii="Times New Roman" w:hAnsi="Times New Roman" w:eastAsia="宋体" w:cs="Times New Roman"/>
          <w:kern w:val="0"/>
          <w:sz w:val="20"/>
          <w:szCs w:val="20"/>
          <w:lang w:val="en-US" w:eastAsia="zh-CN"/>
        </w:rPr>
        <w:t>2</w:t>
      </w: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lang w:val="en-US" w:eastAsia="zh-CN"/>
        </w:rPr>
        <w:t>27-bis</w:t>
      </w:r>
      <w:r>
        <w:rPr>
          <w:rFonts w:ascii="Times New Roman" w:hAnsi="Times New Roman" w:eastAsia="宋体" w:cs="Times New Roman"/>
          <w:kern w:val="0"/>
          <w:sz w:val="20"/>
          <w:szCs w:val="20"/>
        </w:rPr>
        <w:t xml:space="preserve"> meeting,</w:t>
      </w:r>
      <w:r>
        <w:rPr>
          <w:rFonts w:hint="eastAsia" w:ascii="Times New Roman" w:hAnsi="Times New Roman" w:eastAsia="宋体" w:cs="Times New Roman"/>
          <w:kern w:val="0"/>
          <w:sz w:val="20"/>
          <w:szCs w:val="20"/>
          <w:lang w:val="en-US" w:eastAsia="zh-CN"/>
        </w:rPr>
        <w:t xml:space="preserve"> RAN2 reached following agreements on random access for Ambient IoT [1]:</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b/>
          <w:bCs/>
          <w:lang w:val="en-US" w:eastAsia="zh-CN"/>
        </w:rPr>
      </w:pPr>
      <w:r>
        <w:rPr>
          <w:b/>
          <w:bCs/>
          <w:lang w:val="en-US" w:eastAsia="zh-CN"/>
        </w:rPr>
        <w:t>Agreements</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1   In case of D2R data transmission failure, device follows the reader instruction:</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 xml:space="preserve">it is supported to re-access in another opportunity controlled/provided by the reader (i.e. retry the random access); and reader can repeat the R2D “upper layer command” to trigger the device to re-send the same D2R “response” (i.e., device just follows the received R2D to transmit D2R).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2</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 xml:space="preserve">Support optional explicit R2D failure/success feedback indication for at least MSG3 for re-access purpose.  FFS for following D2R data.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3</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 xml:space="preserve">For 2step CBRA, if mgs2 is not received by the device, the device is not expected to autonomously re-access.  The re-access is always controlled by reader.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4</w:t>
      </w:r>
      <w:r>
        <w:rPr>
          <w:rFonts w:hint="eastAsia" w:ascii="Times New Roman" w:hAnsi="Times New Roman" w:eastAsia="宋体" w:cs="Times New Roman"/>
          <w:kern w:val="0"/>
          <w:sz w:val="20"/>
          <w:szCs w:val="20"/>
          <w:lang w:val="en-US" w:eastAsia="zh-CN" w:bidi="ar-SA"/>
        </w:rPr>
        <w:tab/>
      </w:r>
      <w:bookmarkStart w:id="6" w:name="OLE_LINK8"/>
      <w:r>
        <w:rPr>
          <w:rFonts w:hint="eastAsia" w:ascii="Times New Roman" w:hAnsi="Times New Roman" w:eastAsia="宋体" w:cs="Times New Roman"/>
          <w:kern w:val="0"/>
          <w:sz w:val="20"/>
          <w:szCs w:val="20"/>
          <w:lang w:val="en-US" w:eastAsia="zh-CN" w:bidi="ar-SA"/>
        </w:rPr>
        <w:t>For 2step and 3step CBRA, The A-IoT device performs re-access in another opportunity provided by the reader (i.e. retry the random access) at least in case of contention resolution failure.</w:t>
      </w:r>
    </w:p>
    <w:bookmarkEnd w:id="6"/>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rFonts w:hint="eastAsia"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lang w:val="en-US" w:eastAsia="zh-CN" w:bidi="ar-SA"/>
        </w:rPr>
        <w:t>5</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 xml:space="preserve">R2D message is used to provide access occasion(s) which can be used for re-access purpose. One option to be captured in the TR is that this R2D message is AIoT paging message.   FFS additional indications to differentiate if needed in paging message. </w:t>
      </w:r>
      <w:r>
        <w:rPr>
          <w:rFonts w:hint="eastAsia" w:ascii="Times New Roman" w:hAnsi="Times New Roman" w:eastAsia="宋体" w:cs="Times New Roman"/>
          <w:kern w:val="0"/>
          <w:sz w:val="20"/>
          <w:szCs w:val="20"/>
          <w:highlight w:val="none"/>
          <w:lang w:val="en-US" w:eastAsia="zh-CN" w:bidi="ar-SA"/>
        </w:rPr>
        <w:t xml:space="preserve">   FFS if other message can be used.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363" w:hanging="363"/>
        <w:textAlignment w:val="auto"/>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0"/>
          <w:szCs w:val="20"/>
          <w:highlight w:val="none"/>
          <w:lang w:val="en-US" w:eastAsia="zh-CN"/>
        </w:rPr>
      </w:pPr>
      <w:bookmarkStart w:id="7" w:name="OLE_LINK1"/>
      <w:r>
        <w:rPr>
          <w:rFonts w:hint="eastAsia" w:ascii="Times New Roman" w:hAnsi="Times New Roman" w:eastAsia="宋体" w:cs="Times New Roman"/>
          <w:kern w:val="0"/>
          <w:sz w:val="20"/>
          <w:szCs w:val="20"/>
          <w:lang w:val="en-US" w:eastAsia="zh-CN"/>
        </w:rPr>
        <w:t>In this paper, we will further discuss A-IoT random access procedure including Msg3 (re)-transmission failure handling, failure/success feedback indication for following D2R data, re-access, etc.</w:t>
      </w:r>
      <w:bookmarkStart w:id="8" w:name="_Hlk155950016"/>
    </w:p>
    <w:bookmarkEnd w:id="7"/>
    <w:bookmarkEnd w:id="8"/>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宋体" w:cs="Times New Roman"/>
          <w:kern w:val="0"/>
          <w:sz w:val="36"/>
          <w:szCs w:val="20"/>
          <w:lang w:val="en-US" w:eastAsia="zh-CN"/>
        </w:rPr>
        <w:t>Random access Procedures</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default" w:eastAsia="宋体" w:cs="Times New Roman"/>
          <w:kern w:val="0"/>
          <w:sz w:val="20"/>
          <w:szCs w:val="20"/>
          <w:lang w:val="en-US" w:eastAsia="zh-CN" w:bidi="ar-SA"/>
        </w:rPr>
      </w:pPr>
      <w:bookmarkStart w:id="9" w:name="PP12"/>
      <w:r>
        <w:rPr>
          <w:rFonts w:hint="eastAsia" w:ascii="Times New Roman" w:hAnsi="Times New Roman" w:eastAsia="宋体" w:cs="Times New Roman"/>
          <w:kern w:val="0"/>
          <w:sz w:val="20"/>
          <w:szCs w:val="20"/>
          <w:lang w:val="en-US" w:eastAsia="zh-CN" w:bidi="ar-SA"/>
        </w:rPr>
        <w:t>RAN2 has discussed the procedure of 3-step CBRA</w:t>
      </w:r>
      <w:r>
        <w:rPr>
          <w:rFonts w:hint="eastAsia" w:eastAsia="宋体" w:cs="Times New Roman"/>
          <w:kern w:val="0"/>
          <w:sz w:val="20"/>
          <w:szCs w:val="20"/>
          <w:lang w:val="en-US" w:eastAsia="zh-CN" w:bidi="ar-SA"/>
        </w:rPr>
        <w:t xml:space="preserve">, </w:t>
      </w:r>
      <w:r>
        <w:rPr>
          <w:rFonts w:hint="eastAsia" w:ascii="Times New Roman" w:hAnsi="Times New Roman" w:eastAsia="宋体" w:cs="Times New Roman"/>
          <w:kern w:val="0"/>
          <w:sz w:val="20"/>
          <w:szCs w:val="20"/>
          <w:lang w:val="en-US" w:eastAsia="zh-CN" w:bidi="ar-SA"/>
        </w:rPr>
        <w:t xml:space="preserve">2-step CBRA or CFRA. In legacy NR systems, UE can know which random access methods are supported by </w:t>
      </w:r>
      <w:r>
        <w:rPr>
          <w:rFonts w:hint="eastAsia" w:eastAsia="宋体" w:cs="Times New Roman"/>
          <w:kern w:val="0"/>
          <w:sz w:val="20"/>
          <w:szCs w:val="20"/>
          <w:lang w:val="en-US" w:eastAsia="zh-CN" w:bidi="ar-SA"/>
        </w:rPr>
        <w:t xml:space="preserve">the </w:t>
      </w:r>
      <w:r>
        <w:rPr>
          <w:rFonts w:hint="eastAsia" w:ascii="Times New Roman" w:hAnsi="Times New Roman" w:eastAsia="宋体" w:cs="Times New Roman"/>
          <w:kern w:val="0"/>
          <w:sz w:val="20"/>
          <w:szCs w:val="20"/>
          <w:lang w:val="en-US" w:eastAsia="zh-CN" w:bidi="ar-SA"/>
        </w:rPr>
        <w:t xml:space="preserve">network via SIB, and decide which random access method to use based on conditions such as measured RSRP. </w:t>
      </w:r>
      <w:r>
        <w:rPr>
          <w:rFonts w:hint="eastAsia" w:eastAsia="宋体" w:cs="Times New Roman"/>
          <w:kern w:val="0"/>
          <w:sz w:val="20"/>
          <w:szCs w:val="20"/>
          <w:lang w:val="en-US" w:eastAsia="zh-CN" w:bidi="ar-SA"/>
        </w:rPr>
        <w:t>Considering the constraint of the device</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s capability, not all devices can support three types of access. Due to the simplicity of CFRA, it can be essentially supported by all devices. As for the CBRA, at least one CBRA type should be supported without prior information, which can guarantee the need for inventory of all devices within an access round. Among them, the 3-step CBRA is more suitable for various scenarios. Thus, it can be regarded as a baseline. If the 3-step CBRA and 2-step CBRA are both supported, the paging message indicates which option is implemented during this paging round.</w:t>
      </w:r>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firstLine="0" w:firstLineChars="0"/>
        <w:textAlignment w:val="auto"/>
        <w:rPr>
          <w:rFonts w:hint="eastAsia" w:ascii="Times New Roman" w:hAnsi="Times New Roman" w:cs="Times New Roman"/>
          <w:b/>
          <w:i/>
          <w:sz w:val="22"/>
          <w:szCs w:val="24"/>
          <w:lang w:val="en-US" w:eastAsia="zh-CN"/>
        </w:rPr>
      </w:pPr>
      <w:bookmarkStart w:id="10" w:name="OLE_LINK10"/>
      <w:bookmarkStart w:id="11" w:name="OLE_LINK7"/>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 xml:space="preserve">All kinds of A-IoT devices can </w:t>
      </w:r>
      <w:bookmarkStart w:id="12" w:name="OLE_LINK6"/>
      <w:r>
        <w:rPr>
          <w:rFonts w:hint="eastAsia" w:ascii="Times New Roman" w:hAnsi="Times New Roman" w:cs="Times New Roman"/>
          <w:b/>
          <w:i/>
          <w:sz w:val="22"/>
          <w:szCs w:val="24"/>
          <w:lang w:val="en-US" w:eastAsia="zh-CN"/>
        </w:rPr>
        <w:t xml:space="preserve">implement </w:t>
      </w:r>
      <w:bookmarkEnd w:id="12"/>
      <w:r>
        <w:rPr>
          <w:rFonts w:hint="eastAsia" w:ascii="Times New Roman" w:hAnsi="Times New Roman" w:cs="Times New Roman"/>
          <w:b/>
          <w:i/>
          <w:sz w:val="22"/>
          <w:szCs w:val="24"/>
          <w:lang w:val="en-US" w:eastAsia="zh-CN"/>
        </w:rPr>
        <w:t>CFRA.</w:t>
      </w:r>
      <w:bookmarkEnd w:id="10"/>
      <w:r>
        <w:rPr>
          <w:rFonts w:hint="eastAsia" w:ascii="Times New Roman" w:hAnsi="Times New Roman" w:cs="Times New Roman"/>
          <w:b/>
          <w:i/>
          <w:sz w:val="22"/>
          <w:szCs w:val="24"/>
          <w:lang w:val="en-US" w:eastAsia="zh-CN"/>
        </w:rPr>
        <w:t xml:space="preserve"> </w:t>
      </w:r>
      <w:bookmarkEnd w:id="11"/>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firstLine="0" w:firstLineChars="0"/>
        <w:textAlignment w:val="auto"/>
        <w:rPr>
          <w:rFonts w:hint="eastAsia"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For CBRA type, at least one of the following options will be supported,</w:t>
      </w:r>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left="0" w:firstLine="1101" w:firstLineChars="500"/>
        <w:textAlignment w:val="auto"/>
        <w:rPr>
          <w:rFonts w:hint="eastAsia"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Option 1: Only support 3-step CBRA.</w:t>
      </w:r>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left="0" w:firstLine="1101" w:firstLineChars="500"/>
        <w:textAlignment w:val="auto"/>
        <w:rPr>
          <w:rFonts w:hint="default"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Option 2: Support both 3-step CBRA and 2-step CBRA, details can be indicated by the paging message.</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eastAsia" w:eastAsia="宋体" w:cs="Times New Roman"/>
          <w:kern w:val="0"/>
          <w:sz w:val="20"/>
          <w:szCs w:val="20"/>
          <w:lang w:val="en-US" w:eastAsia="zh-CN" w:bidi="ar-SA"/>
        </w:rPr>
      </w:pPr>
      <w:bookmarkStart w:id="13" w:name="OLE_LINK3"/>
      <w:r>
        <w:rPr>
          <w:rFonts w:hint="eastAsia" w:eastAsia="宋体" w:cs="Times New Roman"/>
          <w:kern w:val="0"/>
          <w:sz w:val="20"/>
          <w:szCs w:val="20"/>
          <w:lang w:val="en-US" w:eastAsia="zh-CN" w:bidi="ar-SA"/>
        </w:rPr>
        <w:t>Regarding the failure/success indication related, there is FFS on whether/how to handle the Msg3“device ID re-transmission for inventory case. We can see that the reason for the Msg3 failure is uncertainty. It can be caused by either Msg2 failure or the Msg3 transmission failure. The reader can</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t differentiate the specific reason for that. Besides performing re-access, we support that the reader (or CN) can re-transmit Msg2 (or transmit other indications) to force the device to respond to Msg3 again. This is an easy and safe method to resolve this failure issue. Detailed signalling and implementation can be further discussed in the normative work phase.</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eastAsia" w:cs="Times New Roman"/>
          <w:b/>
          <w:i/>
          <w:sz w:val="22"/>
          <w:szCs w:val="24"/>
          <w:lang w:val="en-US" w:eastAsia="zh-CN"/>
        </w:rPr>
      </w:pPr>
      <w:bookmarkStart w:id="14" w:name="OLE_LINK2"/>
      <w:r>
        <w:rPr>
          <w:rFonts w:ascii="Times New Roman" w:hAnsi="Times New Roman" w:cs="Times New Roman"/>
          <w:b/>
          <w:i/>
          <w:sz w:val="22"/>
          <w:szCs w:val="24"/>
        </w:rPr>
        <w:t xml:space="preserve">Proposal </w:t>
      </w:r>
      <w:r>
        <w:rPr>
          <w:rFonts w:hint="eastAsia" w:cs="Times New Roman"/>
          <w:b/>
          <w:i/>
          <w:sz w:val="22"/>
          <w:szCs w:val="24"/>
          <w:lang w:val="en-US" w:eastAsia="zh-CN"/>
        </w:rPr>
        <w:t>3</w:t>
      </w:r>
      <w:r>
        <w:rPr>
          <w:rFonts w:ascii="Times New Roman" w:hAnsi="Times New Roman" w:cs="Times New Roman"/>
          <w:b/>
          <w:i/>
          <w:sz w:val="22"/>
          <w:szCs w:val="24"/>
        </w:rPr>
        <w:t xml:space="preserve">: </w:t>
      </w:r>
      <w:r>
        <w:rPr>
          <w:rFonts w:hint="eastAsia" w:cs="Times New Roman"/>
          <w:b/>
          <w:i/>
          <w:sz w:val="22"/>
          <w:szCs w:val="24"/>
          <w:lang w:val="en-US" w:eastAsia="zh-CN"/>
        </w:rPr>
        <w:t>RAN2 to support Msg3 re-transmission triggered by the Msg2 re-transmission or other indications from the reader (or CN).</w:t>
      </w:r>
    </w:p>
    <w:bookmarkEnd w:id="14"/>
    <w:p>
      <w:pPr>
        <w:pStyle w:val="247"/>
        <w:keepNext w:val="0"/>
        <w:keepLines w:val="0"/>
        <w:pageBreakBefore w:val="0"/>
        <w:kinsoku/>
        <w:wordWrap/>
        <w:overflowPunct/>
        <w:topLinePunct w:val="0"/>
        <w:autoSpaceDE/>
        <w:autoSpaceDN/>
        <w:bidi w:val="0"/>
        <w:spacing w:after="181" w:afterLines="50" w:line="360" w:lineRule="auto"/>
        <w:textAlignment w:val="auto"/>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For following D2R data after Msg3, i</w:t>
      </w:r>
      <w:r>
        <w:rPr>
          <w:rFonts w:hint="eastAsia" w:ascii="Times New Roman" w:hAnsi="Times New Roman" w:eastAsia="宋体" w:cs="Times New Roman"/>
          <w:kern w:val="0"/>
          <w:sz w:val="20"/>
          <w:szCs w:val="20"/>
          <w:lang w:val="en-US" w:eastAsia="zh-CN" w:bidi="ar-SA"/>
        </w:rPr>
        <w:t>f</w:t>
      </w:r>
      <w:r>
        <w:rPr>
          <w:rFonts w:hint="eastAsia" w:eastAsia="宋体" w:cs="Times New Roman"/>
          <w:kern w:val="0"/>
          <w:sz w:val="20"/>
          <w:szCs w:val="20"/>
          <w:lang w:val="en-US" w:eastAsia="zh-CN" w:bidi="ar-SA"/>
        </w:rPr>
        <w:t xml:space="preserve"> the device successfully receives an R2D message after sending a D2R message, it can be used for an explicit success indication of the last D2R message. Obviously, it is a general method to indicate the success of a D2R message.</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default" w:cs="Times New Roman"/>
          <w:b/>
          <w:i/>
          <w:sz w:val="22"/>
          <w:szCs w:val="24"/>
          <w:lang w:val="en-US" w:eastAsia="zh-CN"/>
        </w:rPr>
      </w:pPr>
      <w:r>
        <w:rPr>
          <w:rFonts w:ascii="Times New Roman" w:hAnsi="Times New Roman" w:cs="Times New Roman"/>
          <w:b/>
          <w:i/>
          <w:sz w:val="22"/>
          <w:szCs w:val="24"/>
        </w:rPr>
        <w:t xml:space="preserve">Proposal </w:t>
      </w:r>
      <w:r>
        <w:rPr>
          <w:rFonts w:hint="eastAsia" w:cs="Times New Roman"/>
          <w:b/>
          <w:i/>
          <w:sz w:val="22"/>
          <w:szCs w:val="24"/>
          <w:lang w:val="en-US" w:eastAsia="zh-CN"/>
        </w:rPr>
        <w:t>4</w:t>
      </w:r>
      <w:r>
        <w:rPr>
          <w:rFonts w:ascii="Times New Roman" w:hAnsi="Times New Roman" w:cs="Times New Roman"/>
          <w:b/>
          <w:i/>
          <w:sz w:val="22"/>
          <w:szCs w:val="24"/>
        </w:rPr>
        <w:t xml:space="preserve">: </w:t>
      </w:r>
      <w:r>
        <w:rPr>
          <w:rFonts w:hint="eastAsia" w:cs="Times New Roman"/>
          <w:b/>
          <w:i/>
          <w:sz w:val="22"/>
          <w:szCs w:val="24"/>
          <w:lang w:val="en-US" w:eastAsia="zh-CN"/>
        </w:rPr>
        <w:t>The successful reception of subsequent R2D message indicates the last D2R message is successfully transmitted.</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eastAsia" w:eastAsia="宋体" w:cs="Times New Roman"/>
          <w:kern w:val="0"/>
          <w:sz w:val="20"/>
          <w:szCs w:val="20"/>
          <w:lang w:val="en-US" w:eastAsia="zh-CN" w:bidi="ar-SA"/>
        </w:rPr>
      </w:pPr>
      <w:r>
        <w:rPr>
          <w:rFonts w:hint="eastAsia" w:eastAsia="宋体" w:cs="Times New Roman"/>
          <w:kern w:val="0"/>
          <w:sz w:val="20"/>
          <w:szCs w:val="20"/>
          <w:lang w:val="en-US" w:eastAsia="zh-CN" w:bidi="ar-SA"/>
        </w:rPr>
        <w:t xml:space="preserve">In the last meeting, we agreed that the A-IoT device performs re-access in another opportunity provided by the reader (i.e. retry the random access) at least in case of contention resolution failure. The paging message has been supported for re-access purposes. In RFID, the </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QueryAdjust</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 xml:space="preserve"> command can trigger failed devices to perform re-access in another round. In our view, it is essential to support re-access in the same or subsequent round for A-IoT. Re-accessing in the assigned access occasion within the same round is more efficient for the failed device. The detail trigger method should depend on the reader</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s implementation.</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eastAsia" w:cs="Times New Roman"/>
          <w:b/>
          <w:i/>
          <w:sz w:val="22"/>
          <w:szCs w:val="24"/>
          <w:lang w:val="en-US" w:eastAsia="zh-CN"/>
        </w:rPr>
      </w:pPr>
      <w:r>
        <w:rPr>
          <w:rFonts w:ascii="Times New Roman" w:hAnsi="Times New Roman" w:cs="Times New Roman"/>
          <w:b/>
          <w:i/>
          <w:sz w:val="22"/>
          <w:szCs w:val="24"/>
        </w:rPr>
        <w:t xml:space="preserve">Proposal </w:t>
      </w:r>
      <w:r>
        <w:rPr>
          <w:rFonts w:hint="eastAsia" w:cs="Times New Roman"/>
          <w:b/>
          <w:i/>
          <w:sz w:val="22"/>
          <w:szCs w:val="24"/>
          <w:lang w:val="en-US" w:eastAsia="zh-CN"/>
        </w:rPr>
        <w:t>5</w:t>
      </w:r>
      <w:r>
        <w:rPr>
          <w:rFonts w:ascii="Times New Roman" w:hAnsi="Times New Roman" w:cs="Times New Roman"/>
          <w:b/>
          <w:i/>
          <w:sz w:val="22"/>
          <w:szCs w:val="24"/>
        </w:rPr>
        <w:t xml:space="preserve">: </w:t>
      </w:r>
      <w:r>
        <w:rPr>
          <w:rFonts w:hint="eastAsia" w:cs="Times New Roman"/>
          <w:b/>
          <w:i/>
          <w:sz w:val="22"/>
          <w:szCs w:val="24"/>
          <w:lang w:val="en-US" w:eastAsia="zh-CN"/>
        </w:rPr>
        <w:t>Re-access for A-IoT devices can be triggered in the same or subsequent round.</w:t>
      </w:r>
    </w:p>
    <w:bookmarkEnd w:id="13"/>
    <w:p>
      <w:pPr>
        <w:pStyle w:val="247"/>
        <w:keepNext w:val="0"/>
        <w:keepLines w:val="0"/>
        <w:pageBreakBefore w:val="0"/>
        <w:kinsoku/>
        <w:wordWrap/>
        <w:overflowPunct/>
        <w:topLinePunct w:val="0"/>
        <w:autoSpaceDE/>
        <w:autoSpaceDN/>
        <w:bidi w:val="0"/>
        <w:spacing w:after="181" w:afterLines="50" w:line="360" w:lineRule="auto"/>
        <w:textAlignment w:val="auto"/>
        <w:rPr>
          <w:rFonts w:hint="eastAsia" w:ascii="Times New Roman" w:hAnsi="Times New Roman" w:eastAsia="宋体" w:cs="Times New Roman"/>
          <w:kern w:val="0"/>
          <w:sz w:val="20"/>
          <w:szCs w:val="20"/>
          <w:lang w:val="en-US" w:eastAsia="zh-CN" w:bidi="ar-SA"/>
        </w:rPr>
      </w:pPr>
      <w:bookmarkStart w:id="15" w:name="OLE_LINK4"/>
      <w:r>
        <w:rPr>
          <w:rFonts w:hint="eastAsia" w:ascii="Times New Roman" w:hAnsi="Times New Roman" w:eastAsia="宋体" w:cs="Times New Roman"/>
          <w:kern w:val="0"/>
          <w:sz w:val="20"/>
          <w:szCs w:val="20"/>
          <w:lang w:val="en-US" w:eastAsia="zh-CN" w:bidi="ar-SA"/>
        </w:rPr>
        <w:t>For the transmission resource configuration, Msg1</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s transmission resource information can be indicated by </w:t>
      </w:r>
      <w:r>
        <w:rPr>
          <w:rFonts w:hint="eastAsia" w:eastAsia="宋体" w:cs="Times New Roman"/>
          <w:kern w:val="0"/>
          <w:sz w:val="20"/>
          <w:szCs w:val="20"/>
          <w:lang w:val="en-US" w:eastAsia="zh-CN" w:bidi="ar-SA"/>
        </w:rPr>
        <w:t xml:space="preserve">a </w:t>
      </w:r>
      <w:r>
        <w:rPr>
          <w:rFonts w:hint="eastAsia" w:ascii="Times New Roman" w:hAnsi="Times New Roman" w:eastAsia="宋体" w:cs="Times New Roman"/>
          <w:kern w:val="0"/>
          <w:sz w:val="20"/>
          <w:szCs w:val="20"/>
          <w:lang w:val="en-US" w:eastAsia="zh-CN" w:bidi="ar-SA"/>
        </w:rPr>
        <w:t xml:space="preserve">paging message </w:t>
      </w:r>
      <w:bookmarkStart w:id="16" w:name="OLE_LINK22"/>
      <w:r>
        <w:rPr>
          <w:rFonts w:hint="eastAsia" w:ascii="Times New Roman" w:hAnsi="Times New Roman" w:eastAsia="宋体" w:cs="Times New Roman"/>
          <w:kern w:val="0"/>
          <w:sz w:val="20"/>
          <w:szCs w:val="20"/>
          <w:lang w:val="en-US" w:eastAsia="zh-CN" w:bidi="ar-SA"/>
        </w:rPr>
        <w:t>or a separate R2D trigger message</w:t>
      </w:r>
      <w:bookmarkEnd w:id="16"/>
      <w:r>
        <w:rPr>
          <w:rFonts w:hint="eastAsia" w:ascii="Times New Roman" w:hAnsi="Times New Roman" w:eastAsia="宋体" w:cs="Times New Roman"/>
          <w:kern w:val="0"/>
          <w:sz w:val="20"/>
          <w:szCs w:val="20"/>
          <w:lang w:val="en-US" w:eastAsia="zh-CN" w:bidi="ar-SA"/>
        </w:rPr>
        <w:t xml:space="preserve"> after paging. </w:t>
      </w:r>
      <w:bookmarkStart w:id="17" w:name="OLE_LINK56"/>
      <w:bookmarkStart w:id="18" w:name="OLE_LINK55"/>
      <w:r>
        <w:t>If a</w:t>
      </w:r>
      <w:r>
        <w:rPr>
          <w:rFonts w:hint="eastAsia" w:eastAsia="宋体"/>
          <w:lang w:val="en-US" w:eastAsia="zh-CN"/>
        </w:rPr>
        <w:t>n</w:t>
      </w:r>
      <w:r>
        <w:t xml:space="preserve"> A</w:t>
      </w:r>
      <w:r>
        <w:rPr>
          <w:rFonts w:hint="eastAsia" w:eastAsia="宋体"/>
          <w:lang w:val="en-US" w:eastAsia="zh-CN"/>
        </w:rPr>
        <w:t>-</w:t>
      </w:r>
      <w:r>
        <w:t>IoT device needs to respond with some data (as responding to a read command), it is meaningful for the device to report some assistance information</w:t>
      </w:r>
      <w:r>
        <w:rPr>
          <w:rFonts w:hint="eastAsia" w:eastAsia="宋体"/>
          <w:lang w:val="en-US" w:eastAsia="zh-CN"/>
        </w:rPr>
        <w:t xml:space="preserve"> </w:t>
      </w:r>
      <w:r>
        <w:t>includ</w:t>
      </w:r>
      <w:r>
        <w:rPr>
          <w:rFonts w:hint="eastAsia" w:eastAsia="宋体"/>
          <w:lang w:val="en-US" w:eastAsia="zh-CN"/>
        </w:rPr>
        <w:t>ing</w:t>
      </w:r>
      <w:r>
        <w:t xml:space="preserve"> the size of the data volume to enable the reader to accurately allocate transmission resources</w:t>
      </w:r>
      <w:r>
        <w:rPr>
          <w:rFonts w:hint="eastAsia" w:eastAsia="宋体"/>
          <w:lang w:val="en-US" w:eastAsia="zh-CN"/>
        </w:rPr>
        <w:t>.</w:t>
      </w:r>
      <w:r>
        <w:t xml:space="preserve"> </w:t>
      </w:r>
      <w:r>
        <w:rPr>
          <w:rFonts w:hint="eastAsia" w:eastAsia="宋体"/>
          <w:lang w:val="en-US" w:eastAsia="zh-CN"/>
        </w:rPr>
        <w:t xml:space="preserve">As for the transmission resource of Msg3, </w:t>
      </w:r>
      <w:r>
        <w:t xml:space="preserve">the reader can indicate accurate resource information in Msg2 based on the assistance information in Msg1. </w:t>
      </w:r>
      <w:r>
        <w:rPr>
          <w:rFonts w:hint="eastAsia" w:eastAsia="宋体"/>
          <w:lang w:val="en-US" w:eastAsia="zh-CN"/>
        </w:rPr>
        <w:t xml:space="preserve">In addition, the resource information of Msg3 can also indicated by paging messages. </w:t>
      </w:r>
      <w:bookmarkEnd w:id="17"/>
      <w:bookmarkEnd w:id="18"/>
      <w:r>
        <w:rPr>
          <w:rFonts w:hint="eastAsia" w:ascii="Times New Roman" w:hAnsi="Times New Roman" w:eastAsia="宋体" w:cs="Times New Roman"/>
          <w:kern w:val="0"/>
          <w:sz w:val="20"/>
          <w:szCs w:val="20"/>
          <w:lang w:val="en-US" w:eastAsia="zh-CN" w:bidi="ar-SA"/>
        </w:rPr>
        <w:t>Resource details wait for RAN1</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s progress.</w:t>
      </w:r>
    </w:p>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hint="eastAsia" w:ascii="Times New Roman" w:hAnsi="Times New Roman" w:cs="Times New Roman"/>
          <w:b/>
          <w:i/>
          <w:sz w:val="22"/>
          <w:szCs w:val="24"/>
          <w:lang w:val="en-US" w:eastAsia="zh-CN"/>
        </w:rPr>
      </w:pPr>
      <w:bookmarkStart w:id="19" w:name="OLE_LINK11"/>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6</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A Paging message or a separate R2D trigger message can indicate transmission resource information for Msg1 and Msg3.</w:t>
      </w:r>
    </w:p>
    <w:bookmarkEnd w:id="19"/>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hint="eastAsia"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7</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Msg1 may include assistance information (e.g. the size of data) for the reader to allocate resources to Msg3.</w:t>
      </w:r>
    </w:p>
    <w:bookmarkEnd w:id="9"/>
    <w:bookmarkEnd w:id="15"/>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keepNext w:val="0"/>
        <w:keepLines w:val="0"/>
        <w:pageBreakBefore w:val="0"/>
        <w:widowControl/>
        <w:kinsoku/>
        <w:wordWrap/>
        <w:overflowPunct/>
        <w:topLinePunct w:val="0"/>
        <w:autoSpaceDE/>
        <w:autoSpaceDN/>
        <w:bidi w:val="0"/>
        <w:spacing w:after="120" w:line="360" w:lineRule="auto"/>
        <w:textAlignment w:val="auto"/>
        <w:rPr>
          <w:rFonts w:hint="eastAsia" w:ascii="Times New Roman" w:hAnsi="Times New Roman" w:eastAsia="宋体" w:cs="Times New Roman"/>
          <w:kern w:val="0"/>
          <w:sz w:val="20"/>
          <w:szCs w:val="24"/>
          <w:lang w:val="en-US" w:eastAsia="zh-CN"/>
        </w:rPr>
      </w:pPr>
      <w:r>
        <w:rPr>
          <w:rFonts w:hint="eastAsia" w:ascii="Times New Roman" w:hAnsi="Times New Roman" w:eastAsia="宋体" w:cs="Times New Roman"/>
          <w:kern w:val="0"/>
          <w:sz w:val="20"/>
          <w:szCs w:val="24"/>
          <w:lang w:val="en-US" w:eastAsia="zh-CN"/>
        </w:rPr>
        <w:t>In this contribution,</w:t>
      </w:r>
      <w:r>
        <w:rPr>
          <w:rFonts w:ascii="Times New Roman" w:hAnsi="Times New Roman" w:eastAsia="宋体" w:cs="Times New Roman"/>
          <w:kern w:val="0"/>
          <w:sz w:val="20"/>
          <w:szCs w:val="24"/>
        </w:rPr>
        <w:t xml:space="preserve"> we </w:t>
      </w:r>
      <w:r>
        <w:rPr>
          <w:rFonts w:hint="eastAsia" w:ascii="Times New Roman" w:hAnsi="Times New Roman" w:eastAsia="宋体" w:cs="Times New Roman"/>
          <w:kern w:val="0"/>
          <w:sz w:val="20"/>
          <w:szCs w:val="24"/>
          <w:lang w:val="en-US" w:eastAsia="zh-CN"/>
        </w:rPr>
        <w:t>discuss the</w:t>
      </w:r>
      <w:r>
        <w:rPr>
          <w:rFonts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lang w:val="en-US" w:eastAsia="zh-CN"/>
        </w:rPr>
        <w:t>random access</w:t>
      </w:r>
      <w:r>
        <w:rPr>
          <w:rFonts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lang w:val="en-US" w:eastAsia="zh-CN"/>
        </w:rPr>
        <w:t xml:space="preserve">procedures </w:t>
      </w:r>
      <w:r>
        <w:rPr>
          <w:rFonts w:ascii="Times New Roman" w:hAnsi="Times New Roman" w:eastAsia="宋体" w:cs="Times New Roman"/>
          <w:kern w:val="0"/>
          <w:sz w:val="20"/>
          <w:szCs w:val="24"/>
        </w:rPr>
        <w:t xml:space="preserve">for </w:t>
      </w:r>
      <w:r>
        <w:rPr>
          <w:rFonts w:hint="eastAsia" w:ascii="Times New Roman" w:hAnsi="Times New Roman" w:eastAsia="宋体" w:cs="Times New Roman"/>
          <w:kern w:val="0"/>
          <w:sz w:val="20"/>
          <w:szCs w:val="24"/>
          <w:lang w:val="en-US" w:eastAsia="zh-CN"/>
        </w:rPr>
        <w:t xml:space="preserve">Ambient </w:t>
      </w:r>
      <w:r>
        <w:rPr>
          <w:rFonts w:ascii="Times New Roman" w:hAnsi="Times New Roman" w:eastAsia="宋体" w:cs="Times New Roman"/>
          <w:kern w:val="0"/>
          <w:sz w:val="20"/>
          <w:szCs w:val="24"/>
        </w:rPr>
        <w:t>IoT</w:t>
      </w:r>
      <w:r>
        <w:rPr>
          <w:rFonts w:hint="eastAsia" w:ascii="Times New Roman" w:hAnsi="Times New Roman" w:eastAsia="宋体" w:cs="Times New Roman"/>
          <w:kern w:val="0"/>
          <w:sz w:val="20"/>
          <w:szCs w:val="24"/>
          <w:lang w:val="en-US" w:eastAsia="zh-CN"/>
        </w:rPr>
        <w:t>, and have the following proposals:</w:t>
      </w:r>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firstLine="0" w:firstLineChars="0"/>
        <w:textAlignment w:val="auto"/>
        <w:rPr>
          <w:rFonts w:hint="eastAsia"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 xml:space="preserve">All kinds of A-IoT devices can implement CFRA. </w:t>
      </w:r>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firstLine="0" w:firstLineChars="0"/>
        <w:textAlignment w:val="auto"/>
        <w:rPr>
          <w:rFonts w:hint="eastAsia"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For CBRA type, at least one of the following options will be supported,</w:t>
      </w:r>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left="0" w:firstLine="1101" w:firstLineChars="500"/>
        <w:textAlignment w:val="auto"/>
        <w:rPr>
          <w:rFonts w:hint="eastAsia"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Option 1: Only support 3-step CBRA.</w:t>
      </w:r>
    </w:p>
    <w:p>
      <w:pPr>
        <w:pStyle w:val="156"/>
        <w:keepNext w:val="0"/>
        <w:keepLines w:val="0"/>
        <w:pageBreakBefore w:val="0"/>
        <w:widowControl/>
        <w:kinsoku/>
        <w:wordWrap/>
        <w:overflowPunct/>
        <w:topLinePunct w:val="0"/>
        <w:autoSpaceDE/>
        <w:autoSpaceDN/>
        <w:bidi w:val="0"/>
        <w:adjustRightInd w:val="0"/>
        <w:snapToGrid w:val="0"/>
        <w:spacing w:after="120" w:afterLines="50" w:line="360" w:lineRule="auto"/>
        <w:ind w:left="0" w:firstLine="1101" w:firstLineChars="500"/>
        <w:textAlignment w:val="auto"/>
        <w:rPr>
          <w:rFonts w:hint="default"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Option 2: Support both 3-step CBRA and 2-step CBRA, details can be indicated by the paging message.</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eastAsia" w:cs="Times New Roman"/>
          <w:b/>
          <w:i/>
          <w:sz w:val="22"/>
          <w:szCs w:val="24"/>
          <w:lang w:val="en-US" w:eastAsia="zh-CN"/>
        </w:rPr>
      </w:pPr>
      <w:r>
        <w:rPr>
          <w:rFonts w:ascii="Times New Roman" w:hAnsi="Times New Roman" w:cs="Times New Roman"/>
          <w:b/>
          <w:i/>
          <w:sz w:val="22"/>
          <w:szCs w:val="24"/>
        </w:rPr>
        <w:t xml:space="preserve">Proposal </w:t>
      </w:r>
      <w:r>
        <w:rPr>
          <w:rFonts w:hint="eastAsia" w:cs="Times New Roman"/>
          <w:b/>
          <w:i/>
          <w:sz w:val="22"/>
          <w:szCs w:val="24"/>
          <w:lang w:val="en-US" w:eastAsia="zh-CN"/>
        </w:rPr>
        <w:t>3</w:t>
      </w:r>
      <w:r>
        <w:rPr>
          <w:rFonts w:ascii="Times New Roman" w:hAnsi="Times New Roman" w:cs="Times New Roman"/>
          <w:b/>
          <w:i/>
          <w:sz w:val="22"/>
          <w:szCs w:val="24"/>
        </w:rPr>
        <w:t xml:space="preserve">: </w:t>
      </w:r>
      <w:r>
        <w:rPr>
          <w:rFonts w:hint="eastAsia" w:cs="Times New Roman"/>
          <w:b/>
          <w:i/>
          <w:sz w:val="22"/>
          <w:szCs w:val="24"/>
          <w:lang w:val="en-US" w:eastAsia="zh-CN"/>
        </w:rPr>
        <w:t>RAN2 to support Msg3 re-transmission triggered by the Msg2 re-transmission or other indications from the reader (or CN).</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default" w:cs="Times New Roman"/>
          <w:b/>
          <w:i/>
          <w:sz w:val="22"/>
          <w:szCs w:val="24"/>
          <w:lang w:val="en-US" w:eastAsia="zh-CN"/>
        </w:rPr>
      </w:pPr>
      <w:r>
        <w:rPr>
          <w:rFonts w:ascii="Times New Roman" w:hAnsi="Times New Roman" w:cs="Times New Roman"/>
          <w:b/>
          <w:i/>
          <w:sz w:val="22"/>
          <w:szCs w:val="24"/>
        </w:rPr>
        <w:t xml:space="preserve">Proposal </w:t>
      </w:r>
      <w:r>
        <w:rPr>
          <w:rFonts w:hint="eastAsia" w:cs="Times New Roman"/>
          <w:b/>
          <w:i/>
          <w:sz w:val="22"/>
          <w:szCs w:val="24"/>
          <w:lang w:val="en-US" w:eastAsia="zh-CN"/>
        </w:rPr>
        <w:t>4</w:t>
      </w:r>
      <w:r>
        <w:rPr>
          <w:rFonts w:ascii="Times New Roman" w:hAnsi="Times New Roman" w:cs="Times New Roman"/>
          <w:b/>
          <w:i/>
          <w:sz w:val="22"/>
          <w:szCs w:val="24"/>
        </w:rPr>
        <w:t xml:space="preserve">: </w:t>
      </w:r>
      <w:r>
        <w:rPr>
          <w:rFonts w:hint="eastAsia" w:cs="Times New Roman"/>
          <w:b/>
          <w:i/>
          <w:sz w:val="22"/>
          <w:szCs w:val="24"/>
          <w:lang w:val="en-US" w:eastAsia="zh-CN"/>
        </w:rPr>
        <w:t>The successful reception of subsequent R2D message indicates the last D2R message is successfully transmitted.</w:t>
      </w:r>
    </w:p>
    <w:p>
      <w:pPr>
        <w:pStyle w:val="247"/>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eastAsia" w:cs="Times New Roman"/>
          <w:b/>
          <w:i/>
          <w:sz w:val="22"/>
          <w:szCs w:val="24"/>
          <w:lang w:val="en-US" w:eastAsia="zh-CN"/>
        </w:rPr>
      </w:pPr>
      <w:r>
        <w:rPr>
          <w:rFonts w:ascii="Times New Roman" w:hAnsi="Times New Roman" w:cs="Times New Roman"/>
          <w:b/>
          <w:i/>
          <w:sz w:val="22"/>
          <w:szCs w:val="24"/>
        </w:rPr>
        <w:t xml:space="preserve">Proposal </w:t>
      </w:r>
      <w:r>
        <w:rPr>
          <w:rFonts w:hint="eastAsia" w:cs="Times New Roman"/>
          <w:b/>
          <w:i/>
          <w:sz w:val="22"/>
          <w:szCs w:val="24"/>
          <w:lang w:val="en-US" w:eastAsia="zh-CN"/>
        </w:rPr>
        <w:t>5</w:t>
      </w:r>
      <w:r>
        <w:rPr>
          <w:rFonts w:ascii="Times New Roman" w:hAnsi="Times New Roman" w:cs="Times New Roman"/>
          <w:b/>
          <w:i/>
          <w:sz w:val="22"/>
          <w:szCs w:val="24"/>
        </w:rPr>
        <w:t xml:space="preserve">: </w:t>
      </w:r>
      <w:r>
        <w:rPr>
          <w:rFonts w:hint="eastAsia" w:cs="Times New Roman"/>
          <w:b/>
          <w:i/>
          <w:sz w:val="22"/>
          <w:szCs w:val="24"/>
          <w:lang w:val="en-US" w:eastAsia="zh-CN"/>
        </w:rPr>
        <w:t>Re-access for A-IoT devices can be triggered in the same or subsequent round.</w:t>
      </w:r>
    </w:p>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hint="eastAsia"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6</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A Paging message or a separate R2D trigger message can indicate transmission resource information for Msg1 and Msg3.</w:t>
      </w:r>
    </w:p>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hint="eastAsia"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7</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Msg1 may include assistance information (e.g. the size of data) for the reader to allocate resources to Msg3.</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bookmarkStart w:id="20" w:name="_GoBack"/>
      <w:bookmarkEnd w:id="20"/>
      <w:r>
        <w:rPr>
          <w:rFonts w:ascii="Arial" w:hAnsi="Arial" w:eastAsia="宋体" w:cs="Times New Roman"/>
          <w:kern w:val="0"/>
          <w:sz w:val="36"/>
          <w:szCs w:val="20"/>
        </w:rPr>
        <w:t>References</w:t>
      </w:r>
    </w:p>
    <w:bookmarkEnd w:id="0"/>
    <w:p>
      <w:pPr>
        <w:widowControl/>
        <w:numPr>
          <w:ilvl w:val="0"/>
          <w:numId w:val="19"/>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3GPP TSG-RAN WG2 Meeting #12</w:t>
      </w:r>
      <w:r>
        <w:rPr>
          <w:rFonts w:hint="eastAsia" w:ascii="Times New Roman" w:hAnsi="Times New Roman" w:eastAsia="宋体" w:cs="Times New Roman"/>
          <w:kern w:val="0"/>
          <w:sz w:val="20"/>
          <w:szCs w:val="20"/>
          <w:lang w:val="en-US" w:eastAsia="zh-CN"/>
        </w:rPr>
        <w:t>7-bis chairman notes.</w:t>
      </w:r>
    </w:p>
    <w:p>
      <w:pPr>
        <w:widowControl/>
        <w:numPr>
          <w:ilvl w:val="0"/>
          <w:numId w:val="0"/>
        </w:numPr>
        <w:spacing w:after="120"/>
        <w:ind w:leftChars="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0">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2">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4">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6">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17"/>
  </w:num>
  <w:num w:numId="8">
    <w:abstractNumId w:val="7"/>
  </w:num>
  <w:num w:numId="9">
    <w:abstractNumId w:val="4"/>
  </w:num>
  <w:num w:numId="10">
    <w:abstractNumId w:val="1"/>
  </w:num>
  <w:num w:numId="11">
    <w:abstractNumId w:val="0"/>
  </w:num>
  <w:num w:numId="12">
    <w:abstractNumId w:val="14"/>
  </w:num>
  <w:num w:numId="13">
    <w:abstractNumId w:val="12"/>
  </w:num>
  <w:num w:numId="14">
    <w:abstractNumId w:val="13"/>
  </w:num>
  <w:num w:numId="15">
    <w:abstractNumId w:val="10"/>
  </w:num>
  <w:num w:numId="16">
    <w:abstractNumId w:val="16"/>
  </w:num>
  <w:num w:numId="17">
    <w:abstractNumId w:val="11"/>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923B0A"/>
    <w:rsid w:val="02E76B51"/>
    <w:rsid w:val="02FA5B72"/>
    <w:rsid w:val="039D4465"/>
    <w:rsid w:val="03F66D0E"/>
    <w:rsid w:val="04B34B43"/>
    <w:rsid w:val="054E4D41"/>
    <w:rsid w:val="05BD1814"/>
    <w:rsid w:val="05DA4EBC"/>
    <w:rsid w:val="05E277B3"/>
    <w:rsid w:val="06334EE0"/>
    <w:rsid w:val="070C181F"/>
    <w:rsid w:val="07A71963"/>
    <w:rsid w:val="0834182C"/>
    <w:rsid w:val="08A53B3F"/>
    <w:rsid w:val="08B56357"/>
    <w:rsid w:val="08E81E12"/>
    <w:rsid w:val="09705425"/>
    <w:rsid w:val="09DE4A06"/>
    <w:rsid w:val="0B8E538E"/>
    <w:rsid w:val="0BAF57FE"/>
    <w:rsid w:val="0C053C2E"/>
    <w:rsid w:val="0C3E7B22"/>
    <w:rsid w:val="0C747FFC"/>
    <w:rsid w:val="0CC051C1"/>
    <w:rsid w:val="0D7B4307"/>
    <w:rsid w:val="0D8C535C"/>
    <w:rsid w:val="0D906017"/>
    <w:rsid w:val="0DA2082D"/>
    <w:rsid w:val="0DC573BC"/>
    <w:rsid w:val="0DCF2837"/>
    <w:rsid w:val="0DD1524A"/>
    <w:rsid w:val="0DF208EC"/>
    <w:rsid w:val="0FD30983"/>
    <w:rsid w:val="0FFB6025"/>
    <w:rsid w:val="10B7034C"/>
    <w:rsid w:val="11130582"/>
    <w:rsid w:val="11A3317D"/>
    <w:rsid w:val="12FD2134"/>
    <w:rsid w:val="130265BC"/>
    <w:rsid w:val="130C6ECC"/>
    <w:rsid w:val="134B7CB5"/>
    <w:rsid w:val="135A4A4C"/>
    <w:rsid w:val="14C41AA0"/>
    <w:rsid w:val="15BA32B2"/>
    <w:rsid w:val="15C23F41"/>
    <w:rsid w:val="15EF5D0A"/>
    <w:rsid w:val="1696521E"/>
    <w:rsid w:val="169A3446"/>
    <w:rsid w:val="17364B70"/>
    <w:rsid w:val="176048E7"/>
    <w:rsid w:val="17636AF8"/>
    <w:rsid w:val="177A3B5A"/>
    <w:rsid w:val="17C31108"/>
    <w:rsid w:val="18095983"/>
    <w:rsid w:val="183563D5"/>
    <w:rsid w:val="188A1105"/>
    <w:rsid w:val="188A3040"/>
    <w:rsid w:val="18FD6EB0"/>
    <w:rsid w:val="19DC4FFB"/>
    <w:rsid w:val="19E70E0E"/>
    <w:rsid w:val="1A9D2DFB"/>
    <w:rsid w:val="1AAF5F88"/>
    <w:rsid w:val="1BA76221"/>
    <w:rsid w:val="1BC46583"/>
    <w:rsid w:val="1C9828F5"/>
    <w:rsid w:val="1CA51CE8"/>
    <w:rsid w:val="1CBC79A9"/>
    <w:rsid w:val="1CE85325"/>
    <w:rsid w:val="1D8D2F01"/>
    <w:rsid w:val="1DAC27BE"/>
    <w:rsid w:val="1DAC2BE5"/>
    <w:rsid w:val="1E480D33"/>
    <w:rsid w:val="1EEB78C7"/>
    <w:rsid w:val="1F63408D"/>
    <w:rsid w:val="1FC30874"/>
    <w:rsid w:val="200D4526"/>
    <w:rsid w:val="20531999"/>
    <w:rsid w:val="20A11AB0"/>
    <w:rsid w:val="20EC6113"/>
    <w:rsid w:val="20EE004B"/>
    <w:rsid w:val="220C3FEC"/>
    <w:rsid w:val="226E5336"/>
    <w:rsid w:val="22E55ECD"/>
    <w:rsid w:val="22FD3574"/>
    <w:rsid w:val="230A3782"/>
    <w:rsid w:val="23681EC9"/>
    <w:rsid w:val="24051BA8"/>
    <w:rsid w:val="249F6523"/>
    <w:rsid w:val="263F3343"/>
    <w:rsid w:val="2759091B"/>
    <w:rsid w:val="275F2824"/>
    <w:rsid w:val="28275AF0"/>
    <w:rsid w:val="28854AD1"/>
    <w:rsid w:val="28D44C9D"/>
    <w:rsid w:val="28DE3F9A"/>
    <w:rsid w:val="293D1DB5"/>
    <w:rsid w:val="29627BC5"/>
    <w:rsid w:val="29645895"/>
    <w:rsid w:val="29E4170D"/>
    <w:rsid w:val="29EF6EF2"/>
    <w:rsid w:val="29F67C23"/>
    <w:rsid w:val="2AF46F08"/>
    <w:rsid w:val="2C1E78EF"/>
    <w:rsid w:val="2C2262F5"/>
    <w:rsid w:val="2C300E8E"/>
    <w:rsid w:val="2C5113C3"/>
    <w:rsid w:val="2CC77187"/>
    <w:rsid w:val="2ECF17F7"/>
    <w:rsid w:val="2FB9045A"/>
    <w:rsid w:val="30191835"/>
    <w:rsid w:val="30A91F61"/>
    <w:rsid w:val="3105267B"/>
    <w:rsid w:val="317C583F"/>
    <w:rsid w:val="33421C25"/>
    <w:rsid w:val="33A63DAB"/>
    <w:rsid w:val="33B00F80"/>
    <w:rsid w:val="33D37459"/>
    <w:rsid w:val="34413D46"/>
    <w:rsid w:val="349E665E"/>
    <w:rsid w:val="351C3576"/>
    <w:rsid w:val="358024D4"/>
    <w:rsid w:val="35E129CB"/>
    <w:rsid w:val="35FE0421"/>
    <w:rsid w:val="36231CDE"/>
    <w:rsid w:val="37617FCF"/>
    <w:rsid w:val="37AC3905"/>
    <w:rsid w:val="37C75C12"/>
    <w:rsid w:val="37CD7B1B"/>
    <w:rsid w:val="37D00A9F"/>
    <w:rsid w:val="38C12712"/>
    <w:rsid w:val="39635633"/>
    <w:rsid w:val="3981700C"/>
    <w:rsid w:val="39C87543"/>
    <w:rsid w:val="3AF060BE"/>
    <w:rsid w:val="3B9A4359"/>
    <w:rsid w:val="3BF511EF"/>
    <w:rsid w:val="3C2760B3"/>
    <w:rsid w:val="3C2B1D49"/>
    <w:rsid w:val="3CCC59CF"/>
    <w:rsid w:val="3D407F0C"/>
    <w:rsid w:val="3DC36006"/>
    <w:rsid w:val="3E640997"/>
    <w:rsid w:val="3EDC58F6"/>
    <w:rsid w:val="3EEF1AD2"/>
    <w:rsid w:val="3F890D4B"/>
    <w:rsid w:val="3F9B62FD"/>
    <w:rsid w:val="3FBB1942"/>
    <w:rsid w:val="3FE40160"/>
    <w:rsid w:val="4057146E"/>
    <w:rsid w:val="405939A2"/>
    <w:rsid w:val="40830F63"/>
    <w:rsid w:val="40F819A3"/>
    <w:rsid w:val="414C642D"/>
    <w:rsid w:val="41A13939"/>
    <w:rsid w:val="41B30DBC"/>
    <w:rsid w:val="41CB46E9"/>
    <w:rsid w:val="43572665"/>
    <w:rsid w:val="43861D09"/>
    <w:rsid w:val="43C83A33"/>
    <w:rsid w:val="44BC6155"/>
    <w:rsid w:val="45300692"/>
    <w:rsid w:val="45B75102"/>
    <w:rsid w:val="464004CF"/>
    <w:rsid w:val="47293CD0"/>
    <w:rsid w:val="478D5F73"/>
    <w:rsid w:val="487E54FB"/>
    <w:rsid w:val="48AF04A1"/>
    <w:rsid w:val="48AF30A8"/>
    <w:rsid w:val="48BB5A04"/>
    <w:rsid w:val="48E716A7"/>
    <w:rsid w:val="4A0B5F87"/>
    <w:rsid w:val="4A154318"/>
    <w:rsid w:val="4A22142F"/>
    <w:rsid w:val="4A2C3F3D"/>
    <w:rsid w:val="4A70372C"/>
    <w:rsid w:val="4B270CDD"/>
    <w:rsid w:val="4B5F643E"/>
    <w:rsid w:val="4B917087"/>
    <w:rsid w:val="4BB835B6"/>
    <w:rsid w:val="4C33574D"/>
    <w:rsid w:val="4C63431C"/>
    <w:rsid w:val="4D0363AD"/>
    <w:rsid w:val="4D0619FF"/>
    <w:rsid w:val="4DC61225"/>
    <w:rsid w:val="4DE07BD1"/>
    <w:rsid w:val="4F522031"/>
    <w:rsid w:val="4F8E4414"/>
    <w:rsid w:val="4FA17831"/>
    <w:rsid w:val="4FDA045F"/>
    <w:rsid w:val="50803722"/>
    <w:rsid w:val="50891D2D"/>
    <w:rsid w:val="50CE033F"/>
    <w:rsid w:val="50E23A41"/>
    <w:rsid w:val="50F0440A"/>
    <w:rsid w:val="511E0023"/>
    <w:rsid w:val="512C0A59"/>
    <w:rsid w:val="51427728"/>
    <w:rsid w:val="51597A9B"/>
    <w:rsid w:val="51FA6427"/>
    <w:rsid w:val="52545EA1"/>
    <w:rsid w:val="52611934"/>
    <w:rsid w:val="52A1019F"/>
    <w:rsid w:val="52E73D22"/>
    <w:rsid w:val="53213033"/>
    <w:rsid w:val="5328717E"/>
    <w:rsid w:val="534D06B4"/>
    <w:rsid w:val="534F4E11"/>
    <w:rsid w:val="53E20B6E"/>
    <w:rsid w:val="540909EB"/>
    <w:rsid w:val="554B00FD"/>
    <w:rsid w:val="559F40AD"/>
    <w:rsid w:val="55B7742C"/>
    <w:rsid w:val="56242DB2"/>
    <w:rsid w:val="56313B8B"/>
    <w:rsid w:val="592B1245"/>
    <w:rsid w:val="595F092C"/>
    <w:rsid w:val="59B36D38"/>
    <w:rsid w:val="59BE6718"/>
    <w:rsid w:val="59FD5EB2"/>
    <w:rsid w:val="5A945FE1"/>
    <w:rsid w:val="5AB94067"/>
    <w:rsid w:val="5AF2428E"/>
    <w:rsid w:val="5AFB17C0"/>
    <w:rsid w:val="5B836FB3"/>
    <w:rsid w:val="5BB000E1"/>
    <w:rsid w:val="5CC62AC2"/>
    <w:rsid w:val="5DE271F3"/>
    <w:rsid w:val="5DFC0B37"/>
    <w:rsid w:val="5DFD6972"/>
    <w:rsid w:val="5EE842C4"/>
    <w:rsid w:val="5EFF5265"/>
    <w:rsid w:val="5F0C4760"/>
    <w:rsid w:val="5F25254F"/>
    <w:rsid w:val="5F3C12CD"/>
    <w:rsid w:val="5F777E2D"/>
    <w:rsid w:val="5F8116DF"/>
    <w:rsid w:val="5F9573DD"/>
    <w:rsid w:val="5F9F7CED"/>
    <w:rsid w:val="5FB85324"/>
    <w:rsid w:val="5FFD5B08"/>
    <w:rsid w:val="600F7B2E"/>
    <w:rsid w:val="6030554B"/>
    <w:rsid w:val="60423F87"/>
    <w:rsid w:val="604C110A"/>
    <w:rsid w:val="605C13A4"/>
    <w:rsid w:val="60767D50"/>
    <w:rsid w:val="60805DB4"/>
    <w:rsid w:val="610D6FCA"/>
    <w:rsid w:val="612E74FF"/>
    <w:rsid w:val="61946EA3"/>
    <w:rsid w:val="61C4248D"/>
    <w:rsid w:val="63AD0817"/>
    <w:rsid w:val="63B36E9D"/>
    <w:rsid w:val="646060BC"/>
    <w:rsid w:val="64A5552C"/>
    <w:rsid w:val="65A11F4C"/>
    <w:rsid w:val="66C303CC"/>
    <w:rsid w:val="67A44560"/>
    <w:rsid w:val="688F2246"/>
    <w:rsid w:val="693A17B3"/>
    <w:rsid w:val="694D731F"/>
    <w:rsid w:val="69D4612E"/>
    <w:rsid w:val="69FD4F9F"/>
    <w:rsid w:val="6A48066B"/>
    <w:rsid w:val="6A9F68FE"/>
    <w:rsid w:val="6B40098D"/>
    <w:rsid w:val="6B665D8D"/>
    <w:rsid w:val="6C030941"/>
    <w:rsid w:val="6C2B298A"/>
    <w:rsid w:val="6DFA687D"/>
    <w:rsid w:val="6E2B704C"/>
    <w:rsid w:val="6E9375A1"/>
    <w:rsid w:val="6EE874C4"/>
    <w:rsid w:val="6FCF76FD"/>
    <w:rsid w:val="6FE67322"/>
    <w:rsid w:val="6FF675BD"/>
    <w:rsid w:val="704354BE"/>
    <w:rsid w:val="708C3C73"/>
    <w:rsid w:val="70A409DA"/>
    <w:rsid w:val="7165689A"/>
    <w:rsid w:val="71FD6CA3"/>
    <w:rsid w:val="72625139"/>
    <w:rsid w:val="73222633"/>
    <w:rsid w:val="737F790A"/>
    <w:rsid w:val="74042F6D"/>
    <w:rsid w:val="7565655C"/>
    <w:rsid w:val="760D23F9"/>
    <w:rsid w:val="762D2F6F"/>
    <w:rsid w:val="76910A96"/>
    <w:rsid w:val="76AA163F"/>
    <w:rsid w:val="76AD4D0C"/>
    <w:rsid w:val="76DB1E0E"/>
    <w:rsid w:val="77476F3F"/>
    <w:rsid w:val="784D67ED"/>
    <w:rsid w:val="78555DF8"/>
    <w:rsid w:val="78DE02DA"/>
    <w:rsid w:val="78DE6B63"/>
    <w:rsid w:val="79326A03"/>
    <w:rsid w:val="793C35BB"/>
    <w:rsid w:val="79822FE7"/>
    <w:rsid w:val="79BC316C"/>
    <w:rsid w:val="7A377612"/>
    <w:rsid w:val="7AC66145"/>
    <w:rsid w:val="7B690C89"/>
    <w:rsid w:val="7BCF062D"/>
    <w:rsid w:val="7BD62F0E"/>
    <w:rsid w:val="7C0C0492"/>
    <w:rsid w:val="7C2C67C8"/>
    <w:rsid w:val="7C376B38"/>
    <w:rsid w:val="7C805752"/>
    <w:rsid w:val="7CC2473D"/>
    <w:rsid w:val="7CC44208"/>
    <w:rsid w:val="7D0719AF"/>
    <w:rsid w:val="7D78481D"/>
    <w:rsid w:val="7E8E441D"/>
    <w:rsid w:val="7E994343"/>
    <w:rsid w:val="7ECA4B12"/>
    <w:rsid w:val="7EE47B3C"/>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keepNext/>
      <w:widowControl/>
      <w:spacing w:before="240" w:after="60"/>
      <w:jc w:val="left"/>
      <w:outlineLvl w:val="1"/>
    </w:pPr>
    <w:rPr>
      <w:rFonts w:ascii="Arial" w:hAnsi="Arial" w:eastAsia="MS Mincho" w:cs="Arial"/>
      <w:iCs/>
      <w:kern w:val="0"/>
      <w:sz w:val="20"/>
      <w:szCs w:val="28"/>
    </w:rPr>
  </w:style>
  <w:style w:type="paragraph" w:styleId="5">
    <w:name w:val="heading 3"/>
    <w:basedOn w:val="4"/>
    <w:next w:val="1"/>
    <w:link w:val="97"/>
    <w:qFormat/>
    <w:uiPriority w:val="0"/>
    <w:pPr>
      <w:keepNext/>
      <w:widowControl/>
      <w:tabs>
        <w:tab w:val="left" w:pos="-5500"/>
      </w:tabs>
      <w:spacing w:before="240" w:after="60"/>
      <w:jc w:val="left"/>
      <w:outlineLvl w:val="2"/>
    </w:pPr>
    <w:rPr>
      <w:rFonts w:ascii="Arial" w:hAnsi="Arial" w:eastAsia="MS Mincho" w:cs="Arial"/>
      <w:kern w:val="0"/>
      <w:sz w:val="26"/>
      <w:szCs w:val="26"/>
      <w:lang w:eastAsia="en-US"/>
    </w:rPr>
  </w:style>
  <w:style w:type="paragraph" w:styleId="6">
    <w:name w:val="heading 4"/>
    <w:basedOn w:val="5"/>
    <w:next w:val="1"/>
    <w:link w:val="98"/>
    <w:qFormat/>
    <w:uiPriority w:val="0"/>
    <w:pPr>
      <w:keepNext/>
      <w:widowControl/>
      <w:spacing w:before="240" w:after="60"/>
      <w:jc w:val="left"/>
      <w:outlineLvl w:val="3"/>
    </w:pPr>
    <w:rPr>
      <w:rFonts w:ascii="CG Times (WN)" w:hAnsi="CG Times (WN)" w:eastAsia="MS Mincho" w:cs="Times New Roman"/>
      <w:kern w:val="0"/>
      <w:sz w:val="28"/>
      <w:szCs w:val="28"/>
      <w:lang w:eastAsia="en-US"/>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文本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文本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表段落 字符1"/>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kern w:val="0"/>
      <w:sz w:val="20"/>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rPr>
      <w:rFonts w:ascii="Times New Roman" w:hAnsi="Times New Roman" w:eastAsia="宋体" w:cs="Times New Roman"/>
      <w:kern w:val="0"/>
      <w:sz w:val="20"/>
      <w:szCs w:val="20"/>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rPr>
      <w:rFonts w:ascii="Times New Roman" w:hAnsi="Times New Roman" w:eastAsia="宋体" w:cs="Times New Roman"/>
      <w:kern w:val="0"/>
      <w:sz w:val="20"/>
      <w:szCs w:val="20"/>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kern w:val="0"/>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bidi="ar-SA"/>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rFonts w:ascii="Times New Roman" w:hAnsi="Times New Roma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kern w:val="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Revision"/>
    <w:hidden/>
    <w:semiHidden/>
    <w:qFormat/>
    <w:uiPriority w:val="99"/>
    <w:rPr>
      <w:rFonts w:ascii="CG Times (WN)" w:hAnsi="CG Times (WN)" w:eastAsia="Times New Roman" w:cs="Times New Roman"/>
      <w:kern w:val="0"/>
      <w:sz w:val="20"/>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38A2C-C909-4C6D-8D48-6631B3996BD4}">
  <ds:schemaRefs/>
</ds:datastoreItem>
</file>

<file path=customXml/itemProps2.xml><?xml version="1.0" encoding="utf-8"?>
<ds:datastoreItem xmlns:ds="http://schemas.openxmlformats.org/officeDocument/2006/customXml" ds:itemID="{62B3730A-21DD-4164-A6B8-1B0DEE774B52}">
  <ds:schemaRefs/>
</ds:datastoreItem>
</file>

<file path=customXml/itemProps3.xml><?xml version="1.0" encoding="utf-8"?>
<ds:datastoreItem xmlns:ds="http://schemas.openxmlformats.org/officeDocument/2006/customXml" ds:itemID="{0BED3E8F-CD85-4A03-9AA4-86A357A2D89D}">
  <ds:schemaRefs/>
</ds:datastoreItem>
</file>

<file path=customXml/itemProps4.xml><?xml version="1.0" encoding="utf-8"?>
<ds:datastoreItem xmlns:ds="http://schemas.openxmlformats.org/officeDocument/2006/customXml" ds:itemID="{44D627ED-5ECB-4287-A907-7A03DB4CA30B}">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5433</Words>
  <Characters>30971</Characters>
  <Lines>258</Lines>
  <Paragraphs>72</Paragraphs>
  <TotalTime>7</TotalTime>
  <ScaleCrop>false</ScaleCrop>
  <LinksUpToDate>false</LinksUpToDate>
  <CharactersWithSpaces>36332</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2024-02-19T10:13:00Z</dcterms:created>
  <dc:creator>Kai Wu(vivo)</dc:creator>
  <cp:lastModifiedBy>HP</cp:lastModifiedBy>
  <dcterms:modified xsi:type="dcterms:W3CDTF">2024-11-08T01:30:49Z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